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7C3116" w14:paraId="57808E2A" w14:textId="77777777" w:rsidTr="00711F21">
        <w:tc>
          <w:tcPr>
            <w:tcW w:w="9828" w:type="dxa"/>
            <w:gridSpan w:val="2"/>
            <w:shd w:val="pct10" w:color="auto" w:fill="auto"/>
          </w:tcPr>
          <w:p w14:paraId="3CFFA6E0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shd w:val="pct10" w:color="auto" w:fill="auto"/>
          </w:tcPr>
          <w:p w14:paraId="36B1A12A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4F5A5A48" w14:textId="77777777" w:rsidTr="00711F21">
        <w:tc>
          <w:tcPr>
            <w:tcW w:w="5778" w:type="dxa"/>
            <w:shd w:val="pct10" w:color="auto" w:fill="auto"/>
          </w:tcPr>
          <w:p w14:paraId="79DACD27" w14:textId="77777777" w:rsidR="007C3116" w:rsidRDefault="007C311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>Graduate Affairs Committee</w:t>
            </w:r>
          </w:p>
          <w:p w14:paraId="59FD4096" w14:textId="77777777" w:rsidR="00BC31DA" w:rsidRDefault="00BC31DA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>Agenda</w:t>
            </w:r>
          </w:p>
        </w:tc>
        <w:tc>
          <w:tcPr>
            <w:tcW w:w="4050" w:type="dxa"/>
            <w:shd w:val="pct10" w:color="auto" w:fill="auto"/>
          </w:tcPr>
          <w:p w14:paraId="63A3983A" w14:textId="07F34668" w:rsidR="007C311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Date</w:t>
            </w:r>
            <w:r w:rsidR="00D43104">
              <w:rPr>
                <w:b/>
                <w:sz w:val="24"/>
              </w:rPr>
              <w:t>:</w:t>
            </w:r>
            <w:r w:rsidR="0032242A">
              <w:rPr>
                <w:b/>
                <w:sz w:val="24"/>
              </w:rPr>
              <w:t xml:space="preserve"> </w:t>
            </w:r>
            <w:r w:rsidR="00526965">
              <w:rPr>
                <w:b/>
                <w:sz w:val="24"/>
              </w:rPr>
              <w:t>February 28, 2023</w:t>
            </w:r>
          </w:p>
          <w:p w14:paraId="1613CBD4" w14:textId="030DA98A" w:rsidR="00B13996" w:rsidRDefault="008A5F4F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477E24">
              <w:rPr>
                <w:b/>
                <w:sz w:val="24"/>
              </w:rPr>
              <w:t>1:30 p.</w:t>
            </w:r>
            <w:r w:rsidR="006A2792">
              <w:rPr>
                <w:b/>
                <w:sz w:val="24"/>
              </w:rPr>
              <w:t>m.</w:t>
            </w:r>
          </w:p>
          <w:p w14:paraId="107F46EE" w14:textId="633B7C1C" w:rsidR="00C75B3C" w:rsidRDefault="008A5F4F" w:rsidP="00764FF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 w:rsidR="00D43104">
              <w:rPr>
                <w:b/>
                <w:sz w:val="24"/>
              </w:rPr>
              <w:t>:</w:t>
            </w:r>
            <w:r w:rsidR="006D57FA">
              <w:rPr>
                <w:b/>
                <w:sz w:val="24"/>
              </w:rPr>
              <w:t xml:space="preserve"> </w:t>
            </w:r>
            <w:r w:rsidR="007B57A2">
              <w:rPr>
                <w:b/>
                <w:sz w:val="24"/>
              </w:rPr>
              <w:t>Virtual via Zoom</w:t>
            </w:r>
            <w:r w:rsidR="007F7959">
              <w:rPr>
                <w:b/>
                <w:sz w:val="24"/>
              </w:rPr>
              <w:t xml:space="preserve"> </w:t>
            </w:r>
          </w:p>
        </w:tc>
        <w:tc>
          <w:tcPr>
            <w:tcW w:w="1350" w:type="dxa"/>
            <w:shd w:val="pct10" w:color="auto" w:fill="auto"/>
          </w:tcPr>
          <w:p w14:paraId="7DD0D3CD" w14:textId="77777777" w:rsidR="007C3116" w:rsidRDefault="007C3116" w:rsidP="00711F21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</w:p>
        </w:tc>
      </w:tr>
      <w:bookmarkEnd w:id="0"/>
      <w:tr w:rsidR="007C3116" w14:paraId="76171D44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  <w:shd w:val="pct10" w:color="auto" w:fill="auto"/>
          </w:tcPr>
          <w:p w14:paraId="58464AE8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bottom w:val="double" w:sz="6" w:space="0" w:color="auto"/>
            </w:tcBorders>
            <w:shd w:val="pct10" w:color="auto" w:fill="auto"/>
          </w:tcPr>
          <w:p w14:paraId="1BB47C74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14D42801" w14:textId="77777777" w:rsidTr="00711F21">
        <w:tc>
          <w:tcPr>
            <w:tcW w:w="9828" w:type="dxa"/>
            <w:gridSpan w:val="2"/>
            <w:tcBorders>
              <w:top w:val="nil"/>
            </w:tcBorders>
          </w:tcPr>
          <w:p w14:paraId="6FCAC392" w14:textId="77777777" w:rsidR="007C3116" w:rsidRDefault="007C3116">
            <w:pPr>
              <w:pStyle w:val="Standard1"/>
            </w:pPr>
          </w:p>
        </w:tc>
        <w:tc>
          <w:tcPr>
            <w:tcW w:w="1350" w:type="dxa"/>
            <w:tcBorders>
              <w:top w:val="nil"/>
            </w:tcBorders>
          </w:tcPr>
          <w:p w14:paraId="50BD9A45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7C3116" w14:paraId="7F1477EA" w14:textId="77777777" w:rsidTr="00711F21">
        <w:tc>
          <w:tcPr>
            <w:tcW w:w="9828" w:type="dxa"/>
            <w:gridSpan w:val="2"/>
          </w:tcPr>
          <w:p w14:paraId="2A0F6729" w14:textId="77777777" w:rsidR="007C3116" w:rsidRDefault="007C3116" w:rsidP="008978AE">
            <w:pPr>
              <w:pStyle w:val="Standard1"/>
            </w:pPr>
            <w:bookmarkStart w:id="2" w:name="Names" w:colFirst="0" w:colLast="4"/>
            <w:r>
              <w:t xml:space="preserve">Meeting called by: Dr. </w:t>
            </w:r>
            <w:r w:rsidR="008978AE">
              <w:t>Janice Blum</w:t>
            </w:r>
          </w:p>
        </w:tc>
        <w:tc>
          <w:tcPr>
            <w:tcW w:w="1350" w:type="dxa"/>
          </w:tcPr>
          <w:p w14:paraId="2BF55D99" w14:textId="77777777" w:rsidR="007C3116" w:rsidRDefault="007C3116" w:rsidP="00711F21">
            <w:pPr>
              <w:pStyle w:val="Standard1"/>
              <w:jc w:val="right"/>
            </w:pPr>
          </w:p>
        </w:tc>
      </w:tr>
      <w:bookmarkEnd w:id="2"/>
      <w:tr w:rsidR="007C3116" w14:paraId="44F4DB47" w14:textId="77777777" w:rsidTr="00711F21">
        <w:tc>
          <w:tcPr>
            <w:tcW w:w="9828" w:type="dxa"/>
            <w:gridSpan w:val="2"/>
            <w:tcBorders>
              <w:bottom w:val="double" w:sz="6" w:space="0" w:color="auto"/>
            </w:tcBorders>
          </w:tcPr>
          <w:p w14:paraId="4F495B32" w14:textId="77777777" w:rsidR="007C3116" w:rsidRDefault="007C3116" w:rsidP="00BD605A">
            <w:pPr>
              <w:pStyle w:val="Standard1"/>
              <w:ind w:right="1404"/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14:paraId="4C3C6B80" w14:textId="77777777" w:rsidR="007C3116" w:rsidRDefault="007C3116" w:rsidP="00711F21">
            <w:pPr>
              <w:pStyle w:val="Standard1"/>
              <w:ind w:right="1404"/>
              <w:jc w:val="right"/>
            </w:pPr>
          </w:p>
        </w:tc>
      </w:tr>
      <w:tr w:rsidR="007C3116" w14:paraId="316847A8" w14:textId="77777777" w:rsidTr="00711F21">
        <w:tc>
          <w:tcPr>
            <w:tcW w:w="9828" w:type="dxa"/>
            <w:gridSpan w:val="2"/>
          </w:tcPr>
          <w:p w14:paraId="008CFB1A" w14:textId="77777777" w:rsidR="007C3116" w:rsidRDefault="007C3116">
            <w:pPr>
              <w:pStyle w:val="Standard1"/>
            </w:pPr>
            <w:r>
              <w:t xml:space="preserve">Attendees: </w:t>
            </w:r>
          </w:p>
        </w:tc>
        <w:tc>
          <w:tcPr>
            <w:tcW w:w="1350" w:type="dxa"/>
          </w:tcPr>
          <w:p w14:paraId="3B89D2C9" w14:textId="77777777" w:rsidR="007C3116" w:rsidRDefault="007C3116" w:rsidP="00711F21">
            <w:pPr>
              <w:pStyle w:val="Standard1"/>
              <w:jc w:val="right"/>
            </w:pPr>
          </w:p>
        </w:tc>
      </w:tr>
      <w:tr w:rsidR="006936B0" w14:paraId="5B83BCD3" w14:textId="77777777" w:rsidTr="00711F21">
        <w:trPr>
          <w:trHeight w:val="171"/>
        </w:trPr>
        <w:tc>
          <w:tcPr>
            <w:tcW w:w="11178" w:type="dxa"/>
            <w:gridSpan w:val="3"/>
          </w:tcPr>
          <w:p w14:paraId="0891C6C9" w14:textId="1B5B264D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4A3ED8">
              <w:t>Margaret Ad</w:t>
            </w:r>
            <w:r w:rsidR="00A70832">
              <w:t>a</w:t>
            </w:r>
            <w:r w:rsidR="004A3ED8">
              <w:t>m</w:t>
            </w:r>
            <w:r w:rsidR="00A70832">
              <w:t>e</w:t>
            </w:r>
            <w:r w:rsidR="004A3ED8">
              <w:t xml:space="preserve">k, </w:t>
            </w:r>
            <w:r w:rsidR="006A2792">
              <w:t xml:space="preserve">Kyle Anderson, </w:t>
            </w:r>
            <w:r w:rsidR="0032242A">
              <w:t xml:space="preserve">Erin Brady, </w:t>
            </w:r>
            <w:r>
              <w:t xml:space="preserve">Gabriel Chu, </w:t>
            </w:r>
            <w:r w:rsidR="00E7222F">
              <w:t xml:space="preserve">Nicole Collins, </w:t>
            </w:r>
            <w:r w:rsidR="004A3ED8">
              <w:t xml:space="preserve">Rebecca Ellis, </w:t>
            </w:r>
            <w:r>
              <w:t xml:space="preserve">Margie Ferguson, Richard Gregory, </w:t>
            </w:r>
            <w:r w:rsidR="00B94CA9">
              <w:t xml:space="preserve">Ray Haberski, </w:t>
            </w:r>
            <w:r>
              <w:t xml:space="preserve">Miki Hamstra,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 xml:space="preserve">Thomas Hurley, </w:t>
            </w:r>
            <w:r w:rsidR="0032242A">
              <w:t xml:space="preserve">JK Lee,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>
              <w:t xml:space="preserve">Karl MacDorman, Jennifer Mahoney, </w:t>
            </w:r>
            <w:r w:rsidR="00A350DC">
              <w:t xml:space="preserve">John Mann, </w:t>
            </w:r>
            <w:r w:rsidR="00661C76">
              <w:t xml:space="preserve">Cullen Merritt, </w:t>
            </w:r>
            <w:r w:rsidR="0032242A">
              <w:t xml:space="preserve">Kyle Minor, </w:t>
            </w:r>
            <w:r>
              <w:t>James Mohler</w:t>
            </w:r>
            <w:r w:rsidR="00A91D68">
              <w:t>,</w:t>
            </w:r>
            <w:r>
              <w:t xml:space="preserve"> Jacquelynn O’Palka,</w:t>
            </w:r>
            <w:r w:rsidR="000C7458">
              <w:t xml:space="preserve"> </w:t>
            </w:r>
            <w:r w:rsidR="00477E24">
              <w:t>I</w:t>
            </w:r>
            <w:r w:rsidR="00475127">
              <w:t>sheka</w:t>
            </w:r>
            <w:r w:rsidR="00477E24">
              <w:t xml:space="preserve"> Orr, </w:t>
            </w:r>
            <w:r>
              <w:t>Zachary Riley, Patrick Roo</w:t>
            </w:r>
            <w:r w:rsidR="00764FF6">
              <w:t>ney, Randall Roper, Paul Salama</w:t>
            </w:r>
            <w:r w:rsidR="00AF58B4">
              <w:t>,</w:t>
            </w:r>
            <w:r>
              <w:t xml:space="preserve"> </w:t>
            </w:r>
            <w:r w:rsidR="0061612B">
              <w:t xml:space="preserve">Jeff Wilson, </w:t>
            </w:r>
            <w:r w:rsidR="0032242A">
              <w:t xml:space="preserve">Tom Wilson,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BC62AE">
        <w:tc>
          <w:tcPr>
            <w:tcW w:w="11178" w:type="dxa"/>
            <w:gridSpan w:val="3"/>
          </w:tcPr>
          <w:p w14:paraId="67EFC025" w14:textId="60167AC8" w:rsidR="006936B0" w:rsidRDefault="00526965" w:rsidP="006936B0">
            <w:pPr>
              <w:pStyle w:val="Standard1"/>
            </w:pPr>
            <w:r>
              <w:t>Steven Graunke, Director of Institutional Research and Assessment</w:t>
            </w:r>
          </w:p>
        </w:tc>
      </w:tr>
      <w:tr w:rsidR="006936B0" w14:paraId="11748009" w14:textId="77777777" w:rsidTr="00711F21">
        <w:tc>
          <w:tcPr>
            <w:tcW w:w="982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0934DC26" w14:textId="77777777" w:rsidR="006936B0" w:rsidRDefault="006936B0" w:rsidP="006936B0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  <w:tc>
          <w:tcPr>
            <w:tcW w:w="1350" w:type="dxa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14:paraId="4BEE5660" w14:textId="77777777" w:rsidR="006936B0" w:rsidRDefault="006936B0" w:rsidP="006936B0">
            <w:pPr>
              <w:pStyle w:val="Standard1"/>
              <w:jc w:val="right"/>
              <w:rPr>
                <w:b/>
                <w:sz w:val="36"/>
              </w:rPr>
            </w:pPr>
          </w:p>
        </w:tc>
      </w:tr>
      <w:tr w:rsidR="006936B0" w14:paraId="5051D792" w14:textId="77777777" w:rsidTr="00711F21">
        <w:tc>
          <w:tcPr>
            <w:tcW w:w="9828" w:type="dxa"/>
            <w:gridSpan w:val="2"/>
          </w:tcPr>
          <w:p w14:paraId="3D60A6F8" w14:textId="72C69CFC" w:rsidR="006936B0" w:rsidRDefault="006936B0" w:rsidP="006A2792">
            <w:pPr>
              <w:pStyle w:val="Standard1"/>
            </w:pPr>
            <w:r>
              <w:t xml:space="preserve">Approval of the Minutes for 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711F21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6039EDFD" w14:textId="77777777" w:rsidTr="00711F21">
        <w:tc>
          <w:tcPr>
            <w:tcW w:w="9828" w:type="dxa"/>
            <w:gridSpan w:val="2"/>
          </w:tcPr>
          <w:p w14:paraId="36388CD4" w14:textId="77777777" w:rsidR="006936B0" w:rsidRDefault="006936B0" w:rsidP="006936B0">
            <w:pPr>
              <w:pStyle w:val="Standard1"/>
            </w:pPr>
            <w:r>
              <w:t>Purdue University Report</w:t>
            </w:r>
          </w:p>
        </w:tc>
        <w:tc>
          <w:tcPr>
            <w:tcW w:w="1350" w:type="dxa"/>
          </w:tcPr>
          <w:p w14:paraId="327F7F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Mohler</w:t>
            </w:r>
          </w:p>
        </w:tc>
      </w:tr>
      <w:tr w:rsidR="006936B0" w14:paraId="413CAA11" w14:textId="77777777" w:rsidTr="00711F21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711F21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711F21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4CE10DEC" w:rsidR="006936B0" w:rsidRPr="00141F0E" w:rsidRDefault="00477E24" w:rsidP="006936B0">
            <w:pPr>
              <w:pStyle w:val="Standard1"/>
              <w:tabs>
                <w:tab w:val="left" w:pos="72"/>
              </w:tabs>
              <w:jc w:val="right"/>
            </w:pPr>
            <w:r>
              <w:t>Orr</w:t>
            </w:r>
          </w:p>
        </w:tc>
      </w:tr>
      <w:tr w:rsidR="006936B0" w14:paraId="34DA82B3" w14:textId="77777777" w:rsidTr="00711F21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711F21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711F21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711F21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>
              <w:t>Curriculum Subcommittee Report</w:t>
            </w:r>
          </w:p>
        </w:tc>
        <w:tc>
          <w:tcPr>
            <w:tcW w:w="1350" w:type="dxa"/>
          </w:tcPr>
          <w:p w14:paraId="2646FAB0" w14:textId="56883B2B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 xml:space="preserve">O’Palka </w:t>
            </w:r>
          </w:p>
        </w:tc>
      </w:tr>
      <w:tr w:rsidR="006936B0" w14:paraId="14AA8042" w14:textId="77777777" w:rsidTr="00711F21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6936B0" w14:paraId="068D3E75" w14:textId="77777777" w:rsidTr="00711F21">
        <w:tc>
          <w:tcPr>
            <w:tcW w:w="9828" w:type="dxa"/>
            <w:gridSpan w:val="2"/>
          </w:tcPr>
          <w:p w14:paraId="2A4347FD" w14:textId="441ECE14" w:rsidR="00526965" w:rsidRDefault="00526965" w:rsidP="006936B0">
            <w:pPr>
              <w:pStyle w:val="Standard1"/>
            </w:pPr>
            <w:r>
              <w:t>2:15 p.m. Steven Graunke, Director of Institutional Research and Assessment – New tableau table on D, W, F, I grade distribution.</w:t>
            </w:r>
          </w:p>
          <w:p w14:paraId="3912154B" w14:textId="4D126AD4" w:rsidR="00526965" w:rsidRDefault="00526965" w:rsidP="006936B0">
            <w:pPr>
              <w:pStyle w:val="Standard1"/>
            </w:pPr>
            <w:r>
              <w:t>2: 30 p.m. Kim Lewis – continued discussion on repeat rules</w:t>
            </w:r>
          </w:p>
          <w:p w14:paraId="11A42018" w14:textId="6386CBA5" w:rsidR="007852CC" w:rsidRDefault="007852CC" w:rsidP="007852CC">
            <w:pPr>
              <w:pStyle w:val="Standard1"/>
            </w:pPr>
            <w:r>
              <w:t>Consent Agenda</w:t>
            </w:r>
          </w:p>
          <w:p w14:paraId="1A4D5217" w14:textId="77777777" w:rsidR="00526965" w:rsidRDefault="00526965" w:rsidP="00526965">
            <w:pPr>
              <w:pStyle w:val="Standard1"/>
              <w:numPr>
                <w:ilvl w:val="0"/>
                <w:numId w:val="5"/>
              </w:numPr>
            </w:pPr>
            <w:r>
              <w:t>Changes to the MD/MA in Philosophy dual degree in the School of Liberal Arts</w:t>
            </w:r>
          </w:p>
          <w:p w14:paraId="3679BB9D" w14:textId="6BD701B9" w:rsidR="006936B0" w:rsidRPr="00520B88" w:rsidRDefault="00526965" w:rsidP="00526965">
            <w:pPr>
              <w:pStyle w:val="Standard1"/>
              <w:numPr>
                <w:ilvl w:val="0"/>
                <w:numId w:val="5"/>
              </w:numPr>
            </w:pPr>
            <w:r>
              <w:t>New Doctor of Dental Surgery and Master of Business Administration dual degree between the IU School of Dentistry and the Kelley School of Business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711F21">
        <w:tc>
          <w:tcPr>
            <w:tcW w:w="9828" w:type="dxa"/>
            <w:gridSpan w:val="2"/>
          </w:tcPr>
          <w:p w14:paraId="28EAF9D7" w14:textId="5699378F" w:rsidR="00526965" w:rsidRDefault="006936B0" w:rsidP="006936B0">
            <w:pPr>
              <w:pStyle w:val="Standard1"/>
            </w:pPr>
            <w:r>
              <w:t>Discussion:</w:t>
            </w:r>
          </w:p>
          <w:p w14:paraId="4EF53C0B" w14:textId="516DF316" w:rsidR="00526965" w:rsidRDefault="00526965" w:rsidP="006936B0">
            <w:pPr>
              <w:pStyle w:val="Standard1"/>
            </w:pPr>
            <w:r>
              <w:t>Continued discussion on credit hours for Ph.D. minors</w:t>
            </w:r>
          </w:p>
          <w:p w14:paraId="1F734DAB" w14:textId="77777777" w:rsidR="006936B0" w:rsidRDefault="006936B0" w:rsidP="006936B0">
            <w:pPr>
              <w:pStyle w:val="Standard1"/>
            </w:pPr>
            <w:r>
              <w:t xml:space="preserve">  </w:t>
            </w:r>
          </w:p>
          <w:p w14:paraId="25775F7B" w14:textId="67AB2DC7" w:rsidR="006936B0" w:rsidRDefault="006936B0" w:rsidP="002E09C0">
            <w:pPr>
              <w:pStyle w:val="Standard1"/>
            </w:pPr>
            <w:r>
              <w:t>Next Meeting and Adjournment (</w:t>
            </w:r>
            <w:r w:rsidR="00526965">
              <w:rPr>
                <w:b/>
              </w:rPr>
              <w:t>March 28,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7458"/>
    <w:rsid w:val="000D29B9"/>
    <w:rsid w:val="000D5500"/>
    <w:rsid w:val="000E1E0D"/>
    <w:rsid w:val="00120431"/>
    <w:rsid w:val="00141F0E"/>
    <w:rsid w:val="0015789B"/>
    <w:rsid w:val="00180BE8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6AD2"/>
    <w:rsid w:val="00391363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3ED8"/>
    <w:rsid w:val="004D7ED5"/>
    <w:rsid w:val="004F670D"/>
    <w:rsid w:val="0050422E"/>
    <w:rsid w:val="00520B88"/>
    <w:rsid w:val="00526965"/>
    <w:rsid w:val="00561E83"/>
    <w:rsid w:val="00575BE9"/>
    <w:rsid w:val="00584642"/>
    <w:rsid w:val="00594956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3116"/>
    <w:rsid w:val="007D145A"/>
    <w:rsid w:val="007D73D2"/>
    <w:rsid w:val="007E19F9"/>
    <w:rsid w:val="007E23B1"/>
    <w:rsid w:val="007F7959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70832"/>
    <w:rsid w:val="00A76952"/>
    <w:rsid w:val="00A90FD4"/>
    <w:rsid w:val="00A91D68"/>
    <w:rsid w:val="00A96EB0"/>
    <w:rsid w:val="00AA6E36"/>
    <w:rsid w:val="00AA70B4"/>
    <w:rsid w:val="00AF58B4"/>
    <w:rsid w:val="00B0618B"/>
    <w:rsid w:val="00B10DC2"/>
    <w:rsid w:val="00B13996"/>
    <w:rsid w:val="00B23B83"/>
    <w:rsid w:val="00B357FB"/>
    <w:rsid w:val="00B46447"/>
    <w:rsid w:val="00B54A49"/>
    <w:rsid w:val="00B66BD4"/>
    <w:rsid w:val="00B9120C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54D5"/>
    <w:rsid w:val="00C75B3C"/>
    <w:rsid w:val="00CA0519"/>
    <w:rsid w:val="00CE77DB"/>
    <w:rsid w:val="00D010C4"/>
    <w:rsid w:val="00D43104"/>
    <w:rsid w:val="00D53208"/>
    <w:rsid w:val="00D60970"/>
    <w:rsid w:val="00D60A47"/>
    <w:rsid w:val="00D643BA"/>
    <w:rsid w:val="00D66AF9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245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2023-02-16T18:03:00Z</dcterms:created>
  <dcterms:modified xsi:type="dcterms:W3CDTF">2023-02-23T16:01:00Z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